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721165" w:rsidRDefault="0026542C" w:rsidP="00FE1DC9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1333336087" w:edGrp="everyone"/>
      <w:permEnd w:id="1333336087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B92D9E" w:rsidRPr="00270B90" w:rsidRDefault="00B92D9E" w:rsidP="00B92D9E">
      <w:pPr>
        <w:spacing w:before="0"/>
        <w:jc w:val="center"/>
        <w:rPr>
          <w:rFonts w:eastAsia="Calibri"/>
          <w:b/>
          <w:sz w:val="22"/>
          <w:szCs w:val="22"/>
          <w:u w:val="single"/>
        </w:rPr>
      </w:pPr>
      <w:r w:rsidRPr="00270B90">
        <w:rPr>
          <w:rFonts w:eastAsia="Calibri"/>
          <w:b/>
          <w:sz w:val="22"/>
          <w:szCs w:val="22"/>
          <w:u w:val="single"/>
        </w:rPr>
        <w:t>Ministry of Agriculture and Land Reclamation,</w:t>
      </w:r>
    </w:p>
    <w:p w:rsidR="00B92D9E" w:rsidRDefault="00B92D9E" w:rsidP="00B92D9E">
      <w:pPr>
        <w:spacing w:before="0"/>
        <w:jc w:val="center"/>
        <w:rPr>
          <w:rFonts w:eastAsia="Calibri"/>
          <w:b/>
          <w:sz w:val="22"/>
          <w:szCs w:val="22"/>
          <w:u w:val="single"/>
        </w:rPr>
      </w:pPr>
      <w:r w:rsidRPr="00270B90">
        <w:rPr>
          <w:rFonts w:eastAsia="Calibri"/>
          <w:b/>
          <w:sz w:val="22"/>
          <w:szCs w:val="22"/>
          <w:u w:val="single"/>
        </w:rPr>
        <w:t>Agricultural Engineering Research Institute (AEnRI)</w:t>
      </w:r>
    </w:p>
    <w:p w:rsidR="00B92D9E" w:rsidRPr="00270B90" w:rsidRDefault="00B92D9E" w:rsidP="00B92D9E">
      <w:pPr>
        <w:spacing w:before="0"/>
        <w:jc w:val="center"/>
        <w:rPr>
          <w:rFonts w:eastAsia="Calibri"/>
          <w:sz w:val="22"/>
          <w:szCs w:val="22"/>
        </w:rPr>
      </w:pPr>
      <w:r w:rsidRPr="00270B90">
        <w:rPr>
          <w:rFonts w:eastAsia="Calibri"/>
          <w:sz w:val="22"/>
          <w:szCs w:val="22"/>
        </w:rPr>
        <w:t>Nadi El Saeed Street, Doqqi, Giza Govern</w:t>
      </w:r>
      <w:r>
        <w:rPr>
          <w:rFonts w:eastAsia="Calibri"/>
          <w:sz w:val="22"/>
          <w:szCs w:val="22"/>
        </w:rPr>
        <w:t xml:space="preserve">orate, Cairo - </w:t>
      </w:r>
      <w:r w:rsidRPr="00270B90">
        <w:rPr>
          <w:rFonts w:eastAsia="Calibri"/>
          <w:sz w:val="22"/>
          <w:szCs w:val="22"/>
        </w:rPr>
        <w:t>EGYPT</w:t>
      </w:r>
    </w:p>
    <w:p w:rsidR="007D5FA2" w:rsidRPr="009A1881" w:rsidRDefault="007D5FA2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bookmarkStart w:id="1" w:name="_GoBack"/>
      <w:bookmarkEnd w:id="1"/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8147D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8147D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8147D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8147D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8147D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8147D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8147D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 w:rsidRPr="00F8147D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 w:rsidRPr="00F8147D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 w:rsidRPr="00F8147D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 w:rsidRPr="00F8147D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 w:rsidRPr="00F8147D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 w:rsidRPr="00F8147D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F8147D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F8147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Pr="006034CA">
        <w:rPr>
          <w:sz w:val="22"/>
          <w:szCs w:val="22"/>
          <w:lang w:val="en-GB"/>
        </w:rPr>
        <w:t xml:space="preserve">  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</w:p>
    <w:p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lastRenderedPageBreak/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8147D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(i)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8147D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(i)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:rsidTr="002201F0"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692597" w:rsidRDefault="00692597" w:rsidP="00692597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9E3E4B">
      <w:footerReference w:type="default" r:id="rId8"/>
      <w:footerReference w:type="first" r:id="rId9"/>
      <w:type w:val="oddPage"/>
      <w:pgSz w:w="11907" w:h="16840" w:code="9"/>
      <w:pgMar w:top="851" w:right="1418" w:bottom="1247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47D" w:rsidRDefault="00F8147D">
      <w:r>
        <w:separator/>
      </w:r>
    </w:p>
  </w:endnote>
  <w:endnote w:type="continuationSeparator" w:id="0">
    <w:p w:rsidR="00F8147D" w:rsidRDefault="00F8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DC9" w:rsidRPr="00961C29" w:rsidRDefault="00056123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8E12AD">
      <w:rPr>
        <w:rFonts w:ascii="Times New Roman" w:hAnsi="Times New Roman"/>
        <w:b/>
        <w:sz w:val="18"/>
        <w:szCs w:val="18"/>
        <w:lang w:val="en-GB"/>
      </w:rPr>
      <w:t xml:space="preserve"> 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EC1DC9" w:rsidRPr="00961C29">
      <w:rPr>
        <w:rFonts w:ascii="Times New Roman" w:hAnsi="Times New Roman"/>
        <w:sz w:val="18"/>
        <w:szCs w:val="18"/>
        <w:lang w:val="en-GB"/>
      </w:rPr>
      <w:tab/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B92D9E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B92D9E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:rsidR="003A2E7A" w:rsidRPr="00140829" w:rsidRDefault="00EC1DC9" w:rsidP="00EC1DC9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14082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961C29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E4B" w:rsidRPr="00961C29" w:rsidRDefault="00056123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8E12AD">
      <w:rPr>
        <w:rFonts w:ascii="Times New Roman" w:hAnsi="Times New Roman"/>
        <w:b/>
        <w:sz w:val="18"/>
        <w:szCs w:val="18"/>
        <w:lang w:val="en-GB"/>
      </w:rPr>
      <w:t xml:space="preserve"> 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B92D9E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B92D9E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:rsidR="00F6133A" w:rsidRPr="0093677F" w:rsidRDefault="00EC1DC9" w:rsidP="003A2E7A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93677F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8C12C4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47D" w:rsidRDefault="00F8147D">
      <w:r>
        <w:separator/>
      </w:r>
    </w:p>
  </w:footnote>
  <w:footnote w:type="continuationSeparator" w:id="0">
    <w:p w:rsidR="00F8147D" w:rsidRDefault="00F8147D">
      <w:r>
        <w:continuationSeparator/>
      </w:r>
    </w:p>
  </w:footnote>
  <w:footnote w:id="1">
    <w:p w:rsidR="005C52D3" w:rsidRPr="00056123" w:rsidRDefault="005C52D3" w:rsidP="00056123">
      <w:pPr>
        <w:pStyle w:val="FootnoteText"/>
        <w:jc w:val="both"/>
        <w:rPr>
          <w:lang w:val="en-GB"/>
        </w:rPr>
      </w:pPr>
      <w:r w:rsidRPr="00056123">
        <w:rPr>
          <w:rStyle w:val="FootnoteReference"/>
          <w:highlight w:val="yellow"/>
        </w:rPr>
        <w:footnoteRef/>
      </w:r>
      <w:r w:rsidRPr="00056123">
        <w:rPr>
          <w:highlight w:val="yellow"/>
          <w:lang w:val="en-GB"/>
        </w:rPr>
        <w:t xml:space="preserve"> Guidance on the verification of financial </w:t>
      </w:r>
      <w:r w:rsidR="005352CA">
        <w:rPr>
          <w:highlight w:val="yellow"/>
          <w:lang w:val="en-GB"/>
        </w:rPr>
        <w:t xml:space="preserve">guarantees </w:t>
      </w:r>
      <w:r w:rsidRPr="00056123">
        <w:rPr>
          <w:highlight w:val="yellow"/>
          <w:lang w:val="en-GB"/>
        </w:rPr>
        <w:t>can be found in chapter 9.1 of the DEVCO Companion. In indirect management, the contracting authority should seek guidance from the European Commission before accepting a financial guarantee.</w:t>
      </w:r>
    </w:p>
  </w:footnote>
  <w:footnote w:id="2">
    <w:p w:rsidR="00E811F3" w:rsidRPr="008E12AD" w:rsidRDefault="00E811F3" w:rsidP="00056123">
      <w:pPr>
        <w:pStyle w:val="FootnoteText"/>
        <w:jc w:val="both"/>
        <w:rPr>
          <w:lang w:val="en-GB"/>
        </w:rPr>
      </w:pPr>
      <w:r w:rsidRPr="00853E6E">
        <w:rPr>
          <w:rStyle w:val="FootnoteReference"/>
        </w:rPr>
        <w:footnoteRef/>
      </w:r>
      <w:r w:rsidR="002A0BC2" w:rsidRPr="008E12AD">
        <w:rPr>
          <w:lang w:val="en-GB"/>
        </w:rPr>
        <w:t xml:space="preserve"> </w:t>
      </w:r>
      <w:r w:rsidR="004018F1" w:rsidRPr="008E12AD">
        <w:rPr>
          <w:lang w:val="en-GB"/>
        </w:rPr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  <w:lang w:val="en-GB"/>
        </w:rPr>
        <w:t xml:space="preserve"> </w:t>
      </w:r>
      <w:r w:rsidR="00391E0F" w:rsidRPr="008E12AD">
        <w:rPr>
          <w:lang w:val="en-GB"/>
        </w:rPr>
        <w:t>or where the guarantor can justify that he is unable to provide such a guarantee without expiry date.</w:t>
      </w:r>
    </w:p>
  </w:footnote>
  <w:footnote w:id="3">
    <w:p w:rsidR="00692597" w:rsidRPr="008E12AD" w:rsidRDefault="00692597" w:rsidP="002A0BC2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</w:p>
  </w:footnote>
  <w:footnote w:id="4">
    <w:p w:rsidR="00692597" w:rsidRPr="008E12AD" w:rsidRDefault="00692597" w:rsidP="002A0BC2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C0E"/>
    <w:rsid w:val="00B758FB"/>
    <w:rsid w:val="00B80DE8"/>
    <w:rsid w:val="00B87EDD"/>
    <w:rsid w:val="00B90C14"/>
    <w:rsid w:val="00B92D9E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147D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2A0BC2"/>
    <w:pPr>
      <w:spacing w:before="0" w:after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2A0BC2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BDCD4-0CFD-4373-9D5F-3E478508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Mohamed Ibrahim</cp:lastModifiedBy>
  <cp:revision>10</cp:revision>
  <cp:lastPrinted>2012-09-24T09:31:00Z</cp:lastPrinted>
  <dcterms:created xsi:type="dcterms:W3CDTF">2018-12-18T11:39:00Z</dcterms:created>
  <dcterms:modified xsi:type="dcterms:W3CDTF">2019-12-11T13:12:00Z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